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5" w:rsidRPr="00FB6CCD" w:rsidRDefault="00402EAF" w:rsidP="008C7A65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Toelichting NIKA en NIKA-</w:t>
      </w:r>
      <w:r w:rsidR="008C7A65" w:rsidRPr="00FB6CCD">
        <w:rPr>
          <w:rFonts w:asciiTheme="majorHAnsi" w:hAnsiTheme="majorHAnsi" w:cstheme="majorHAnsi"/>
          <w:b/>
        </w:rPr>
        <w:t>Ouderbegeleiding</w:t>
      </w:r>
    </w:p>
    <w:p w:rsidR="008C7A65" w:rsidRDefault="008C7A65" w:rsidP="008C7A65">
      <w:pPr>
        <w:spacing w:after="0" w:line="360" w:lineRule="auto"/>
        <w:rPr>
          <w:rFonts w:asciiTheme="majorHAnsi" w:hAnsiTheme="majorHAnsi" w:cstheme="majorHAnsi"/>
          <w:b/>
        </w:rPr>
      </w:pPr>
    </w:p>
    <w:tbl>
      <w:tblPr>
        <w:tblStyle w:val="Tabelraster"/>
        <w:tblW w:w="0" w:type="auto"/>
        <w:tblInd w:w="110" w:type="dxa"/>
        <w:tblLook w:val="04A0" w:firstRow="1" w:lastRow="0" w:firstColumn="1" w:lastColumn="0" w:noHBand="0" w:noVBand="1"/>
      </w:tblPr>
      <w:tblGrid>
        <w:gridCol w:w="4533"/>
        <w:gridCol w:w="4639"/>
      </w:tblGrid>
      <w:tr w:rsidR="008C7A65" w:rsidTr="00FB5C77">
        <w:trPr>
          <w:trHeight w:val="404"/>
        </w:trPr>
        <w:tc>
          <w:tcPr>
            <w:tcW w:w="4536" w:type="dxa"/>
            <w:shd w:val="clear" w:color="auto" w:fill="DBE5F1" w:themeFill="accent1" w:themeFillTint="33"/>
          </w:tcPr>
          <w:p w:rsidR="008C7A65" w:rsidRPr="00FF21DD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FF21DD">
              <w:rPr>
                <w:rFonts w:asciiTheme="majorHAnsi" w:hAnsiTheme="majorHAnsi" w:cstheme="majorHAnsi"/>
                <w:b/>
              </w:rPr>
              <w:t>NIKA</w:t>
            </w:r>
          </w:p>
        </w:tc>
        <w:tc>
          <w:tcPr>
            <w:tcW w:w="4642" w:type="dxa"/>
            <w:shd w:val="clear" w:color="auto" w:fill="DBE5F1" w:themeFill="accent1" w:themeFillTint="33"/>
          </w:tcPr>
          <w:p w:rsidR="008C7A65" w:rsidRPr="00FF21DD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FF21DD">
              <w:rPr>
                <w:rFonts w:asciiTheme="majorHAnsi" w:hAnsiTheme="majorHAnsi" w:cstheme="majorHAnsi"/>
                <w:b/>
              </w:rPr>
              <w:t>N</w:t>
            </w:r>
            <w:r w:rsidR="00402EAF">
              <w:rPr>
                <w:rFonts w:asciiTheme="majorHAnsi" w:hAnsiTheme="majorHAnsi" w:cstheme="majorHAnsi"/>
                <w:b/>
              </w:rPr>
              <w:t>IKA-</w:t>
            </w:r>
            <w:r>
              <w:rPr>
                <w:rFonts w:asciiTheme="majorHAnsi" w:hAnsiTheme="majorHAnsi" w:cstheme="majorHAnsi"/>
                <w:b/>
              </w:rPr>
              <w:t>Ouderbegeleiding</w:t>
            </w:r>
          </w:p>
        </w:tc>
      </w:tr>
      <w:tr w:rsidR="008C7A65" w:rsidTr="00FB5C77">
        <w:trPr>
          <w:trHeight w:val="390"/>
        </w:trPr>
        <w:tc>
          <w:tcPr>
            <w:tcW w:w="4536" w:type="dxa"/>
          </w:tcPr>
          <w:p w:rsidR="008C7A65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FF21DD">
              <w:rPr>
                <w:rFonts w:asciiTheme="majorHAnsi" w:hAnsiTheme="majorHAnsi" w:cstheme="majorHAnsi"/>
                <w:b/>
              </w:rPr>
              <w:t xml:space="preserve">* Wordt uitgevoerd door </w:t>
            </w:r>
            <w:r w:rsidRPr="00FF21DD">
              <w:rPr>
                <w:rFonts w:asciiTheme="majorHAnsi" w:hAnsiTheme="majorHAnsi" w:cstheme="majorHAnsi"/>
                <w:b/>
                <w:bCs/>
              </w:rPr>
              <w:t xml:space="preserve">universitair opgeleide </w:t>
            </w:r>
            <w:r w:rsidR="00402EAF">
              <w:rPr>
                <w:rFonts w:asciiTheme="majorHAnsi" w:hAnsiTheme="majorHAnsi" w:cstheme="majorHAnsi"/>
                <w:b/>
                <w:bCs/>
                <w:i/>
              </w:rPr>
              <w:t>NIKA-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i/>
              </w:rPr>
              <w:t>P</w:t>
            </w:r>
            <w:r w:rsidRPr="00FF21DD">
              <w:rPr>
                <w:rFonts w:asciiTheme="majorHAnsi" w:hAnsiTheme="majorHAnsi" w:cstheme="majorHAnsi"/>
                <w:b/>
                <w:bCs/>
                <w:i/>
              </w:rPr>
              <w:t>ractitioner</w:t>
            </w:r>
            <w:r w:rsidR="00402EAF">
              <w:rPr>
                <w:rFonts w:asciiTheme="majorHAnsi" w:hAnsiTheme="majorHAnsi" w:cstheme="majorHAnsi"/>
                <w:b/>
                <w:bCs/>
                <w:i/>
              </w:rPr>
              <w:t>s</w:t>
            </w:r>
            <w:proofErr w:type="spellEnd"/>
          </w:p>
          <w:p w:rsidR="008C7A65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* </w:t>
            </w:r>
            <w:r w:rsidRPr="00FF21DD">
              <w:rPr>
                <w:rFonts w:asciiTheme="majorHAnsi" w:hAnsiTheme="majorHAnsi" w:cstheme="majorHAnsi"/>
                <w:b/>
                <w:bCs/>
              </w:rPr>
              <w:t xml:space="preserve">NIKA kent een diagnostiek- en een </w:t>
            </w:r>
            <w:r w:rsidR="00402EAF">
              <w:rPr>
                <w:rFonts w:asciiTheme="majorHAnsi" w:hAnsiTheme="majorHAnsi" w:cstheme="majorHAnsi"/>
                <w:b/>
                <w:bCs/>
              </w:rPr>
              <w:br/>
              <w:t>-</w:t>
            </w:r>
            <w:r w:rsidRPr="00FF21DD">
              <w:rPr>
                <w:rFonts w:asciiTheme="majorHAnsi" w:hAnsiTheme="majorHAnsi" w:cstheme="majorHAnsi"/>
                <w:b/>
                <w:bCs/>
              </w:rPr>
              <w:t>interventieprotocol.</w:t>
            </w:r>
          </w:p>
          <w:p w:rsidR="008C7A65" w:rsidRPr="00FF21DD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FF21DD">
              <w:rPr>
                <w:rFonts w:asciiTheme="majorHAnsi" w:hAnsiTheme="majorHAnsi" w:cstheme="majorHAnsi"/>
                <w:b/>
                <w:bCs/>
              </w:rPr>
              <w:t>* NIKA st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art met diagnostisch onderzoek </w:t>
            </w:r>
            <w:r w:rsidRPr="00FF21DD">
              <w:rPr>
                <w:rFonts w:asciiTheme="majorHAnsi" w:hAnsiTheme="majorHAnsi" w:cstheme="majorHAnsi"/>
                <w:b/>
                <w:bCs/>
              </w:rPr>
              <w:t>naar de aanwezigheid van gehechtheidsproblematiek en de factoren die hierop van invloed zijn. Hierna volgt een kortdurende, geprotocolleerde cognitieve gedragstherape</w:t>
            </w:r>
            <w:r w:rsidR="00402EAF">
              <w:rPr>
                <w:rFonts w:asciiTheme="majorHAnsi" w:hAnsiTheme="majorHAnsi" w:cstheme="majorHAnsi"/>
                <w:b/>
                <w:bCs/>
              </w:rPr>
              <w:t>utische interventie die gebruik</w:t>
            </w:r>
            <w:r w:rsidRPr="00FF21DD">
              <w:rPr>
                <w:rFonts w:asciiTheme="majorHAnsi" w:hAnsiTheme="majorHAnsi" w:cstheme="majorHAnsi"/>
                <w:b/>
                <w:bCs/>
              </w:rPr>
              <w:t>maakt van videofeedback. Centraal staat het afleren van schadelijk en verstorend oudergedrag vo</w:t>
            </w:r>
            <w:r w:rsidR="00402EAF">
              <w:rPr>
                <w:rFonts w:asciiTheme="majorHAnsi" w:hAnsiTheme="majorHAnsi" w:cstheme="majorHAnsi"/>
                <w:b/>
                <w:bCs/>
              </w:rPr>
              <w:t xml:space="preserve">ortkomend uit trauma- en </w:t>
            </w:r>
            <w:proofErr w:type="spellStart"/>
            <w:r w:rsidR="00402EAF">
              <w:rPr>
                <w:rFonts w:asciiTheme="majorHAnsi" w:hAnsiTheme="majorHAnsi" w:cstheme="majorHAnsi"/>
                <w:b/>
                <w:bCs/>
              </w:rPr>
              <w:t>stress</w:t>
            </w:r>
            <w:r w:rsidRPr="00FF21DD">
              <w:rPr>
                <w:rFonts w:asciiTheme="majorHAnsi" w:hAnsiTheme="majorHAnsi" w:cstheme="majorHAnsi"/>
                <w:b/>
                <w:bCs/>
              </w:rPr>
              <w:t>gerelateerde</w:t>
            </w:r>
            <w:proofErr w:type="spellEnd"/>
            <w:r w:rsidRPr="00FF21DD">
              <w:rPr>
                <w:rFonts w:asciiTheme="majorHAnsi" w:hAnsiTheme="majorHAnsi" w:cstheme="majorHAnsi"/>
                <w:b/>
                <w:bCs/>
              </w:rPr>
              <w:t xml:space="preserve"> problematiek bij de ouder.  </w:t>
            </w:r>
          </w:p>
        </w:tc>
        <w:tc>
          <w:tcPr>
            <w:tcW w:w="4642" w:type="dxa"/>
          </w:tcPr>
          <w:p w:rsidR="008C7A65" w:rsidRPr="00FF21DD" w:rsidRDefault="00402EAF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* Wordt uitgevoerd door NIKA-</w:t>
            </w:r>
            <w:r w:rsidR="008C7A65">
              <w:rPr>
                <w:rFonts w:asciiTheme="majorHAnsi" w:hAnsiTheme="majorHAnsi" w:cstheme="majorHAnsi"/>
                <w:b/>
              </w:rPr>
              <w:t>O</w:t>
            </w:r>
            <w:r>
              <w:rPr>
                <w:rFonts w:asciiTheme="majorHAnsi" w:hAnsiTheme="majorHAnsi" w:cstheme="majorHAnsi"/>
                <w:b/>
              </w:rPr>
              <w:t>uderbegeleiders (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HBO-</w:t>
            </w:r>
            <w:r w:rsidR="008C7A65" w:rsidRPr="00FF21DD">
              <w:rPr>
                <w:rFonts w:asciiTheme="majorHAnsi" w:hAnsiTheme="majorHAnsi" w:cstheme="majorHAnsi"/>
                <w:b/>
              </w:rPr>
              <w:t>niveau</w:t>
            </w:r>
            <w:proofErr w:type="spellEnd"/>
            <w:r w:rsidR="008C7A65" w:rsidRPr="00FF21DD">
              <w:rPr>
                <w:rFonts w:asciiTheme="majorHAnsi" w:hAnsiTheme="majorHAnsi" w:cstheme="majorHAnsi"/>
                <w:b/>
              </w:rPr>
              <w:t xml:space="preserve">). </w:t>
            </w:r>
            <w:r>
              <w:rPr>
                <w:rFonts w:asciiTheme="majorHAnsi" w:hAnsiTheme="majorHAnsi" w:cstheme="majorHAnsi"/>
                <w:b/>
              </w:rPr>
              <w:t>NIKA-</w:t>
            </w:r>
            <w:proofErr w:type="spellStart"/>
            <w:r w:rsidR="008C7A65">
              <w:rPr>
                <w:rFonts w:asciiTheme="majorHAnsi" w:hAnsiTheme="majorHAnsi" w:cstheme="majorHAnsi"/>
                <w:b/>
              </w:rPr>
              <w:t>Practit</w:t>
            </w:r>
            <w:r w:rsidR="008C7A65" w:rsidRPr="00FF21DD">
              <w:rPr>
                <w:rFonts w:asciiTheme="majorHAnsi" w:hAnsiTheme="majorHAnsi" w:cstheme="majorHAnsi"/>
                <w:b/>
              </w:rPr>
              <w:t>ioners</w:t>
            </w:r>
            <w:proofErr w:type="spellEnd"/>
            <w:r w:rsidR="008C7A65" w:rsidRPr="00FF21DD">
              <w:rPr>
                <w:rFonts w:asciiTheme="majorHAnsi" w:hAnsiTheme="majorHAnsi" w:cstheme="majorHAnsi"/>
                <w:b/>
              </w:rPr>
              <w:t xml:space="preserve"> (in opleiding) ondersteunen hen hierbij.</w:t>
            </w:r>
          </w:p>
          <w:p w:rsidR="008C7A65" w:rsidRPr="00FF21DD" w:rsidRDefault="00402EAF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* NIKA-</w:t>
            </w:r>
            <w:r w:rsidR="008C7A65" w:rsidRPr="00FF21DD">
              <w:rPr>
                <w:rFonts w:asciiTheme="majorHAnsi" w:hAnsiTheme="majorHAnsi" w:cstheme="majorHAnsi"/>
                <w:b/>
              </w:rPr>
              <w:t>Ouderbegeleiding bestaat uit een screeningsprotocol voor problematische gehechtheid en een ouderbegeleidingsprotocol.</w:t>
            </w:r>
          </w:p>
          <w:p w:rsidR="008C7A65" w:rsidRPr="00FF21DD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FF21DD">
              <w:rPr>
                <w:rFonts w:asciiTheme="majorHAnsi" w:hAnsiTheme="majorHAnsi" w:cstheme="majorHAnsi"/>
                <w:b/>
              </w:rPr>
              <w:t xml:space="preserve">* </w:t>
            </w:r>
            <w:r w:rsidRPr="00FF21DD">
              <w:rPr>
                <w:rFonts w:asciiTheme="majorHAnsi" w:hAnsiTheme="majorHAnsi" w:cstheme="majorHAnsi"/>
                <w:b/>
                <w:bCs/>
              </w:rPr>
              <w:t>In de screeningsfase wordt middels de inventarisatie van risicofac</w:t>
            </w:r>
            <w:r w:rsidR="00402EAF">
              <w:rPr>
                <w:rFonts w:asciiTheme="majorHAnsi" w:hAnsiTheme="majorHAnsi" w:cstheme="majorHAnsi"/>
                <w:b/>
                <w:bCs/>
              </w:rPr>
              <w:t>toren, een vragenlijst en video-</w:t>
            </w:r>
            <w:r w:rsidRPr="00FF21DD">
              <w:rPr>
                <w:rFonts w:asciiTheme="majorHAnsi" w:hAnsiTheme="majorHAnsi" w:cstheme="majorHAnsi"/>
                <w:b/>
                <w:bCs/>
              </w:rPr>
              <w:t xml:space="preserve">opnames gekeken naar aanwijzingen voor problematische gehechtheid. Tijdens de ouderbegeleiding staan het bevorderen van sensitief en responsief ouderschap en het </w:t>
            </w:r>
            <w:proofErr w:type="spellStart"/>
            <w:r w:rsidRPr="00FF21DD">
              <w:rPr>
                <w:rFonts w:asciiTheme="majorHAnsi" w:hAnsiTheme="majorHAnsi" w:cstheme="majorHAnsi"/>
                <w:b/>
                <w:bCs/>
              </w:rPr>
              <w:t>mentaliserend</w:t>
            </w:r>
            <w:proofErr w:type="spellEnd"/>
            <w:r w:rsidRPr="00FF21DD">
              <w:rPr>
                <w:rFonts w:asciiTheme="majorHAnsi" w:hAnsiTheme="majorHAnsi" w:cstheme="majorHAnsi"/>
                <w:b/>
                <w:bCs/>
              </w:rPr>
              <w:t xml:space="preserve"> vermogen van de ouder centraal.</w:t>
            </w:r>
          </w:p>
        </w:tc>
      </w:tr>
    </w:tbl>
    <w:p w:rsidR="008C7A65" w:rsidRPr="00FF21DD" w:rsidRDefault="008C7A65" w:rsidP="008C7A65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:rsidR="008C7A65" w:rsidRPr="00FF21DD" w:rsidRDefault="008C7A65" w:rsidP="008C7A65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FF21DD">
        <w:rPr>
          <w:rFonts w:asciiTheme="majorHAnsi" w:hAnsiTheme="majorHAnsi" w:cstheme="majorHAnsi"/>
          <w:b/>
          <w:bCs/>
        </w:rPr>
        <w:t>Com</w:t>
      </w:r>
      <w:r>
        <w:rPr>
          <w:rFonts w:asciiTheme="majorHAnsi" w:hAnsiTheme="majorHAnsi" w:cstheme="majorHAnsi"/>
          <w:b/>
          <w:bCs/>
        </w:rPr>
        <w:t>plementaire samenwerking</w:t>
      </w:r>
    </w:p>
    <w:p w:rsidR="008C7A65" w:rsidRPr="00FF21DD" w:rsidRDefault="00402EAF" w:rsidP="008C7A65">
      <w:pPr>
        <w:spacing w:after="0" w:line="36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 NIKA-</w:t>
      </w:r>
      <w:r w:rsidR="008C7A65">
        <w:rPr>
          <w:rFonts w:asciiTheme="majorHAnsi" w:hAnsiTheme="majorHAnsi" w:cstheme="majorHAnsi"/>
          <w:bCs/>
        </w:rPr>
        <w:t>P</w:t>
      </w:r>
      <w:r w:rsidR="008C7A65" w:rsidRPr="00FF21DD">
        <w:rPr>
          <w:rFonts w:asciiTheme="majorHAnsi" w:hAnsiTheme="majorHAnsi" w:cstheme="majorHAnsi"/>
          <w:bCs/>
        </w:rPr>
        <w:t>ractiti</w:t>
      </w:r>
      <w:r>
        <w:rPr>
          <w:rFonts w:asciiTheme="majorHAnsi" w:hAnsiTheme="majorHAnsi" w:cstheme="majorHAnsi"/>
          <w:bCs/>
        </w:rPr>
        <w:t>oner en de NIKA-</w:t>
      </w:r>
      <w:r w:rsidR="008C7A65">
        <w:rPr>
          <w:rFonts w:asciiTheme="majorHAnsi" w:hAnsiTheme="majorHAnsi" w:cstheme="majorHAnsi"/>
          <w:bCs/>
        </w:rPr>
        <w:t>Ouderbegeleider</w:t>
      </w:r>
      <w:r w:rsidR="008C7A65" w:rsidRPr="00FF21DD">
        <w:rPr>
          <w:rFonts w:asciiTheme="majorHAnsi" w:hAnsiTheme="majorHAnsi" w:cstheme="majorHAnsi"/>
          <w:bCs/>
        </w:rPr>
        <w:t xml:space="preserve"> werken complementair samen. Zij vullen elkaar aan. Ervaring leert dat het screenen op proble</w:t>
      </w:r>
      <w:r>
        <w:rPr>
          <w:rFonts w:asciiTheme="majorHAnsi" w:hAnsiTheme="majorHAnsi" w:cstheme="majorHAnsi"/>
          <w:bCs/>
        </w:rPr>
        <w:t>matische gehechtheid door NIKA-</w:t>
      </w:r>
      <w:r w:rsidR="008C7A65">
        <w:rPr>
          <w:rFonts w:asciiTheme="majorHAnsi" w:hAnsiTheme="majorHAnsi" w:cstheme="majorHAnsi"/>
          <w:bCs/>
        </w:rPr>
        <w:t>O</w:t>
      </w:r>
      <w:r w:rsidR="008C7A65" w:rsidRPr="00FF21DD">
        <w:rPr>
          <w:rFonts w:asciiTheme="majorHAnsi" w:hAnsiTheme="majorHAnsi" w:cstheme="majorHAnsi"/>
          <w:bCs/>
        </w:rPr>
        <w:t>uderbegeleiders helpt gehechtheidsproblematiek in gezinnen zo snel en effectief mogelijk aa</w:t>
      </w:r>
      <w:r>
        <w:rPr>
          <w:rFonts w:asciiTheme="majorHAnsi" w:hAnsiTheme="majorHAnsi" w:cstheme="majorHAnsi"/>
          <w:bCs/>
        </w:rPr>
        <w:t>n te pakken. De inzet van NIKA-</w:t>
      </w:r>
      <w:r w:rsidR="008C7A65">
        <w:rPr>
          <w:rFonts w:asciiTheme="majorHAnsi" w:hAnsiTheme="majorHAnsi" w:cstheme="majorHAnsi"/>
          <w:bCs/>
        </w:rPr>
        <w:t>O</w:t>
      </w:r>
      <w:r w:rsidR="008C7A65" w:rsidRPr="00FF21DD">
        <w:rPr>
          <w:rFonts w:asciiTheme="majorHAnsi" w:hAnsiTheme="majorHAnsi" w:cstheme="majorHAnsi"/>
          <w:bCs/>
        </w:rPr>
        <w:t xml:space="preserve">uderbegeleiding na afronding </w:t>
      </w:r>
      <w:r>
        <w:rPr>
          <w:rFonts w:asciiTheme="majorHAnsi" w:hAnsiTheme="majorHAnsi" w:cstheme="majorHAnsi"/>
          <w:bCs/>
        </w:rPr>
        <w:t xml:space="preserve">van NIKA zorgt ervoor dat NIKA </w:t>
      </w:r>
      <w:r w:rsidR="008C7A65" w:rsidRPr="00FF21DD">
        <w:rPr>
          <w:rFonts w:asciiTheme="majorHAnsi" w:hAnsiTheme="majorHAnsi" w:cstheme="majorHAnsi"/>
          <w:bCs/>
        </w:rPr>
        <w:t xml:space="preserve">niet langer duurt </w:t>
      </w:r>
      <w:r w:rsidR="008C7A65">
        <w:rPr>
          <w:rFonts w:asciiTheme="majorHAnsi" w:hAnsiTheme="majorHAnsi" w:cstheme="majorHAnsi"/>
          <w:bCs/>
        </w:rPr>
        <w:t xml:space="preserve">dan </w:t>
      </w:r>
      <w:r w:rsidR="008C7A65" w:rsidRPr="00FF21DD">
        <w:rPr>
          <w:rFonts w:asciiTheme="majorHAnsi" w:hAnsiTheme="majorHAnsi" w:cstheme="majorHAnsi"/>
          <w:bCs/>
        </w:rPr>
        <w:t xml:space="preserve">noodzakelijk is. Ouderbegeleiders kunnen na afloop van NIKA de sensitiviteit van de ouder verder bevorderen en zij ondersteunen duurzame verandering. </w:t>
      </w:r>
    </w:p>
    <w:p w:rsidR="008C7A65" w:rsidRPr="00FF21DD" w:rsidRDefault="008C7A65" w:rsidP="008C7A65">
      <w:pPr>
        <w:spacing w:after="0" w:line="360" w:lineRule="auto"/>
        <w:rPr>
          <w:rFonts w:asciiTheme="majorHAnsi" w:hAnsiTheme="majorHAnsi" w:cstheme="majorHAnsi"/>
          <w:bCs/>
        </w:rPr>
      </w:pPr>
      <w:r w:rsidRPr="00FF21DD">
        <w:rPr>
          <w:rFonts w:asciiTheme="majorHAnsi" w:hAnsiTheme="majorHAnsi" w:cstheme="majorHAnsi"/>
          <w:bCs/>
        </w:rPr>
        <w:t>Bij cliënten waarbij sprake is van complexe trauma- en/of persoonlijkheidsproblematiek en/of ernstig</w:t>
      </w:r>
      <w:r w:rsidR="00402EAF">
        <w:rPr>
          <w:rFonts w:asciiTheme="majorHAnsi" w:hAnsiTheme="majorHAnsi" w:cstheme="majorHAnsi"/>
          <w:bCs/>
        </w:rPr>
        <w:t>e verstoringen in de ouder-kind</w:t>
      </w:r>
      <w:r w:rsidRPr="00FF21DD">
        <w:rPr>
          <w:rFonts w:asciiTheme="majorHAnsi" w:hAnsiTheme="majorHAnsi" w:cstheme="majorHAnsi"/>
          <w:bCs/>
        </w:rPr>
        <w:t>relatie wordt altijd gestart met NIKA. Met behulp van NIKA wordt het (schade</w:t>
      </w:r>
      <w:r w:rsidR="00402EAF">
        <w:rPr>
          <w:rFonts w:asciiTheme="majorHAnsi" w:hAnsiTheme="majorHAnsi" w:cstheme="majorHAnsi"/>
          <w:bCs/>
        </w:rPr>
        <w:t>lijke) patroon in de ouder-kind</w:t>
      </w:r>
      <w:r w:rsidRPr="00FF21DD">
        <w:rPr>
          <w:rFonts w:asciiTheme="majorHAnsi" w:hAnsiTheme="majorHAnsi" w:cstheme="majorHAnsi"/>
          <w:bCs/>
        </w:rPr>
        <w:t xml:space="preserve">relatie blootgelegd en schadelijk opvoedgedrag gestopt. Zo </w:t>
      </w:r>
      <w:r w:rsidR="00402EAF">
        <w:rPr>
          <w:rFonts w:asciiTheme="majorHAnsi" w:hAnsiTheme="majorHAnsi" w:cstheme="majorHAnsi"/>
          <w:bCs/>
        </w:rPr>
        <w:t>nodig volgt na dit traject NIKA-</w:t>
      </w:r>
      <w:r w:rsidRPr="00FF21DD">
        <w:rPr>
          <w:rFonts w:asciiTheme="majorHAnsi" w:hAnsiTheme="majorHAnsi" w:cstheme="majorHAnsi"/>
          <w:bCs/>
        </w:rPr>
        <w:t xml:space="preserve">Ouderbegeleiding. </w:t>
      </w:r>
    </w:p>
    <w:p w:rsidR="008C7A65" w:rsidRDefault="008C7A65" w:rsidP="008C7A65">
      <w:pPr>
        <w:spacing w:after="0" w:line="360" w:lineRule="auto"/>
        <w:rPr>
          <w:rFonts w:asciiTheme="majorHAnsi" w:hAnsiTheme="majorHAnsi" w:cstheme="majorHAnsi"/>
          <w:bCs/>
        </w:rPr>
      </w:pPr>
      <w:r w:rsidRPr="00FF21DD">
        <w:rPr>
          <w:rFonts w:asciiTheme="majorHAnsi" w:hAnsiTheme="majorHAnsi" w:cstheme="majorHAnsi"/>
          <w:bCs/>
        </w:rPr>
        <w:t>Bij beslissingsondersteunend onderzoek in complexe opvoedsituaties wordt altijd de NIKA ingezet, uitgevoerd do</w:t>
      </w:r>
      <w:r w:rsidR="00402EAF">
        <w:rPr>
          <w:rFonts w:asciiTheme="majorHAnsi" w:hAnsiTheme="majorHAnsi" w:cstheme="majorHAnsi"/>
          <w:bCs/>
        </w:rPr>
        <w:t>or NIKA-</w:t>
      </w:r>
      <w:proofErr w:type="spellStart"/>
      <w:r>
        <w:rPr>
          <w:rFonts w:asciiTheme="majorHAnsi" w:hAnsiTheme="majorHAnsi" w:cstheme="majorHAnsi"/>
          <w:bCs/>
        </w:rPr>
        <w:t>P</w:t>
      </w:r>
      <w:r w:rsidRPr="00FF21DD">
        <w:rPr>
          <w:rFonts w:asciiTheme="majorHAnsi" w:hAnsiTheme="majorHAnsi" w:cstheme="majorHAnsi"/>
          <w:bCs/>
        </w:rPr>
        <w:t>ractitioners</w:t>
      </w:r>
      <w:proofErr w:type="spellEnd"/>
      <w:r w:rsidRPr="00FF21DD">
        <w:rPr>
          <w:rFonts w:asciiTheme="majorHAnsi" w:hAnsiTheme="majorHAnsi" w:cstheme="majorHAnsi"/>
          <w:bCs/>
        </w:rPr>
        <w:t xml:space="preserve">. </w:t>
      </w:r>
    </w:p>
    <w:p w:rsidR="008C7A65" w:rsidRPr="00122962" w:rsidRDefault="008C7A65" w:rsidP="008C7A65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703"/>
        <w:gridCol w:w="1847"/>
        <w:gridCol w:w="1659"/>
      </w:tblGrid>
      <w:tr w:rsidR="008C7A65" w:rsidRPr="00122962" w:rsidTr="00FB5C77">
        <w:tc>
          <w:tcPr>
            <w:tcW w:w="6091" w:type="dxa"/>
            <w:shd w:val="clear" w:color="auto" w:fill="DBE5F1" w:themeFill="accent1" w:themeFillTint="33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22962">
              <w:rPr>
                <w:rFonts w:asciiTheme="majorHAnsi" w:hAnsiTheme="majorHAnsi" w:cstheme="majorHAnsi"/>
                <w:b/>
                <w:bCs/>
              </w:rPr>
              <w:lastRenderedPageBreak/>
              <w:br w:type="page"/>
            </w:r>
            <w:r w:rsidRPr="00122962">
              <w:rPr>
                <w:rFonts w:asciiTheme="majorHAnsi" w:hAnsiTheme="majorHAnsi" w:cstheme="majorHAnsi"/>
                <w:b/>
              </w:rPr>
              <w:t>Activiteit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8C7A65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NIKA</w:t>
            </w:r>
            <w:r w:rsidR="00402EAF">
              <w:rPr>
                <w:rFonts w:asciiTheme="majorHAnsi" w:hAnsiTheme="majorHAnsi" w:cstheme="majorHAnsi"/>
                <w:b/>
              </w:rPr>
              <w:t>-</w:t>
            </w:r>
          </w:p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22962">
              <w:rPr>
                <w:rFonts w:asciiTheme="majorHAnsi" w:hAnsiTheme="majorHAnsi" w:cstheme="majorHAnsi"/>
                <w:b/>
              </w:rPr>
              <w:t>Ouderbegeleiding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EAF" w:rsidRDefault="00402EAF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NIKA-</w:t>
            </w:r>
          </w:p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22962">
              <w:rPr>
                <w:rFonts w:asciiTheme="majorHAnsi" w:hAnsiTheme="majorHAnsi" w:cstheme="majorHAnsi"/>
                <w:b/>
              </w:rPr>
              <w:t>Practitioner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Voeren naam NIKA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Voeren naam NIKA-Ouderbegeleiding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Afname gehechtheidsvragenlijst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402EAF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Interpretatie</w:t>
            </w:r>
            <w:r w:rsidR="008C7A65" w:rsidRPr="00122962">
              <w:rPr>
                <w:rFonts w:asciiTheme="majorHAnsi" w:hAnsiTheme="majorHAnsi" w:cstheme="majorHAnsi"/>
              </w:rPr>
              <w:t>vragenlijst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402EAF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Afname en interpretatie NIKA-</w:t>
            </w:r>
            <w:r w:rsidR="008C7A65" w:rsidRPr="00122962">
              <w:rPr>
                <w:rFonts w:asciiTheme="majorHAnsi" w:hAnsiTheme="majorHAnsi" w:cstheme="majorHAnsi"/>
              </w:rPr>
              <w:t>gehechtheidsinterview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Screenen </w:t>
            </w:r>
            <w:proofErr w:type="spellStart"/>
            <w:r w:rsidRPr="00122962">
              <w:rPr>
                <w:rFonts w:asciiTheme="majorHAnsi" w:hAnsiTheme="majorHAnsi" w:cstheme="majorHAnsi"/>
              </w:rPr>
              <w:t>kindsignalen</w:t>
            </w:r>
            <w:proofErr w:type="spellEnd"/>
            <w:r w:rsidRPr="00122962">
              <w:rPr>
                <w:rFonts w:asciiTheme="majorHAnsi" w:hAnsiTheme="majorHAnsi" w:cstheme="majorHAnsi"/>
              </w:rPr>
              <w:t xml:space="preserve"> en oudergedragingen gehechtheid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Diagnostiek </w:t>
            </w:r>
            <w:proofErr w:type="spellStart"/>
            <w:r w:rsidRPr="00122962">
              <w:rPr>
                <w:rFonts w:asciiTheme="majorHAnsi" w:hAnsiTheme="majorHAnsi" w:cstheme="majorHAnsi"/>
              </w:rPr>
              <w:t>kindsignalen</w:t>
            </w:r>
            <w:proofErr w:type="spellEnd"/>
            <w:r w:rsidRPr="00122962">
              <w:rPr>
                <w:rFonts w:asciiTheme="majorHAnsi" w:hAnsiTheme="majorHAnsi" w:cstheme="majorHAnsi"/>
              </w:rPr>
              <w:t xml:space="preserve"> en oudergedragingen gehechtheid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Vaststellen problematische gehechtheid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Formuleren integratief beeld en veranderingsgerichte hypothese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Aanleren sensitiviteit bij ouder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Mogelijk meer dan 5 sessies inoefenen sensitiviteit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Aanleren </w:t>
            </w:r>
            <w:r w:rsidRPr="00402EAF">
              <w:rPr>
                <w:rFonts w:asciiTheme="majorHAnsi" w:hAnsiTheme="majorHAnsi" w:cstheme="majorHAnsi"/>
                <w:i/>
              </w:rPr>
              <w:t>mind-</w:t>
            </w:r>
            <w:proofErr w:type="spellStart"/>
            <w:r w:rsidRPr="00402EAF">
              <w:rPr>
                <w:rFonts w:asciiTheme="majorHAnsi" w:hAnsiTheme="majorHAnsi" w:cstheme="majorHAnsi"/>
                <w:i/>
              </w:rPr>
              <w:t>mindedness</w:t>
            </w:r>
            <w:proofErr w:type="spellEnd"/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Mogelijk meer dan 5 sessies inoefenen </w:t>
            </w:r>
            <w:r w:rsidRPr="00402EAF">
              <w:rPr>
                <w:rFonts w:asciiTheme="majorHAnsi" w:hAnsiTheme="majorHAnsi" w:cstheme="majorHAnsi"/>
                <w:i/>
              </w:rPr>
              <w:t>mind-</w:t>
            </w:r>
            <w:proofErr w:type="spellStart"/>
            <w:r w:rsidRPr="00402EAF">
              <w:rPr>
                <w:rFonts w:asciiTheme="majorHAnsi" w:hAnsiTheme="majorHAnsi" w:cstheme="majorHAnsi"/>
                <w:i/>
              </w:rPr>
              <w:t>mindedness</w:t>
            </w:r>
            <w:proofErr w:type="spellEnd"/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402EAF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Afleren schadelijk ouder</w:t>
            </w:r>
            <w:bookmarkStart w:id="0" w:name="_GoBack"/>
            <w:bookmarkEnd w:id="0"/>
            <w:r w:rsidR="008C7A65" w:rsidRPr="00122962">
              <w:rPr>
                <w:rFonts w:asciiTheme="majorHAnsi" w:hAnsiTheme="majorHAnsi" w:cstheme="majorHAnsi"/>
              </w:rPr>
              <w:t>gedrag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Geven </w:t>
            </w:r>
            <w:proofErr w:type="spellStart"/>
            <w:r w:rsidRPr="00122962">
              <w:rPr>
                <w:rFonts w:asciiTheme="majorHAnsi" w:hAnsiTheme="majorHAnsi" w:cstheme="majorHAnsi"/>
              </w:rPr>
              <w:t>psycho</w:t>
            </w:r>
            <w:proofErr w:type="spellEnd"/>
            <w:r w:rsidRPr="00122962">
              <w:rPr>
                <w:rFonts w:asciiTheme="majorHAnsi" w:hAnsiTheme="majorHAnsi" w:cstheme="majorHAnsi"/>
              </w:rPr>
              <w:t>-educatie gehechtheid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Werken met videofeedback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 xml:space="preserve">Zelfstandig uitvoeren van NIKA 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Inoefenen vaardigheden in de diverse dagelijkse situaties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Sensitief disciplineren oefenen in de diverse situaties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22962">
              <w:rPr>
                <w:rFonts w:asciiTheme="majorHAnsi" w:hAnsiTheme="majorHAnsi" w:cstheme="majorHAnsi"/>
              </w:rPr>
              <w:t>X</w:t>
            </w:r>
          </w:p>
        </w:tc>
      </w:tr>
      <w:tr w:rsidR="008C7A65" w:rsidRPr="00122962" w:rsidTr="00FB5C77">
        <w:tc>
          <w:tcPr>
            <w:tcW w:w="609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Hulp bieden en regievoering op verminderen risicofactoren problematische gehechtheid</w:t>
            </w:r>
          </w:p>
        </w:tc>
        <w:tc>
          <w:tcPr>
            <w:tcW w:w="1417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</w:tcPr>
          <w:p w:rsidR="008C7A65" w:rsidRPr="00122962" w:rsidRDefault="008C7A65" w:rsidP="00FB5C77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</w:tr>
    </w:tbl>
    <w:p w:rsidR="00817068" w:rsidRDefault="00817068"/>
    <w:sectPr w:rsidR="00817068" w:rsidSect="00247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5"/>
    <w:rsid w:val="002475EF"/>
    <w:rsid w:val="00402EAF"/>
    <w:rsid w:val="00817068"/>
    <w:rsid w:val="008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7A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7A6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2714</Characters>
  <Application>Microsoft Macintosh Word</Application>
  <DocSecurity>0</DocSecurity>
  <Lines>22</Lines>
  <Paragraphs>6</Paragraphs>
  <ScaleCrop>false</ScaleCrop>
  <Company>Jeugdzorg Academie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 Prins</dc:creator>
  <cp:keywords/>
  <dc:description/>
  <cp:lastModifiedBy>Borre Prins</cp:lastModifiedBy>
  <cp:revision>2</cp:revision>
  <dcterms:created xsi:type="dcterms:W3CDTF">2018-05-02T14:35:00Z</dcterms:created>
  <dcterms:modified xsi:type="dcterms:W3CDTF">2018-05-02T14:35:00Z</dcterms:modified>
</cp:coreProperties>
</file>